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spacing w:after="280"/>
        <w:jc w:val="center"/>
      </w:pPr>
      <w:r>
        <w:drawing>
          <wp:inline xmlns:a="http://schemas.openxmlformats.org/drawingml/2006/main" xmlns:pic="http://schemas.openxmlformats.org/drawingml/2006/picture">
            <wp:extent cx="1430526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ora-volumetric-square-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0526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hAnsi="Calibri"/>
          <w:b/>
          <w:color w:val="8C7142"/>
          <w:sz w:val="32"/>
        </w:rPr>
        <w:t>БРИФ ИССЛЕДОВАНИЯ – НАЗВАНИЯ</w:t>
      </w:r>
    </w:p>
    <w:p>
      <w:pPr>
        <w:jc w:val="center"/>
      </w:pPr>
      <w:r>
        <w:rPr>
          <w:rFonts w:ascii="Calibri" w:hAnsi="Calibri"/>
          <w:i/>
          <w:color w:val="8C7142"/>
          <w:sz w:val="26"/>
        </w:rPr>
        <w:t>Вымышленный пример заполнения</w:t>
      </w:r>
    </w:p>
    <w:p>
      <w:pPr>
        <w:jc w:val="center"/>
      </w:pPr>
      <w:r>
        <w:rPr>
          <w:rFonts w:ascii="Calibri" w:hAnsi="Calibri"/>
          <w:color w:val="547090"/>
          <w:sz w:val="20"/>
        </w:rPr>
        <w:br/>
        <w:br/>
        <w:t>Все названия, компании и цифры вымышлены; совпадения случайны.</w:t>
        <w:br/>
        <w:t>Метод: слепой + контекстный тест</w:t>
      </w:r>
    </w:p>
    <w:p/>
    <w:p/>
    <w:p/>
    <w:p>
      <w:pPr>
        <w:jc w:val="center"/>
      </w:pPr>
      <w:r>
        <w:rPr>
          <w:rFonts w:ascii="Calibri" w:hAnsi="Calibri"/>
          <w:i/>
          <w:color w:val="8C7142"/>
          <w:sz w:val="26"/>
        </w:rPr>
        <w:t>Синтетические исследования на синтетических персонах</w:t>
      </w:r>
    </w:p>
    <w:tbl>
      <w:tblPr>
        <w:tblW w:type="auto" w:w="0"/>
        <w:tblBorders>
          <w:top w:val="single" w:sz="4" w:space="0" w:color="C8CDD4"/>
          <w:bottom w:val="single" w:sz="4" w:space="0" w:color="C8CDD4"/>
          <w:insideH w:val="single" w:sz="4" w:space="0" w:color="C8CDD4"/>
          <w:left w:val="nil"/>
          <w:right w:val="nil"/>
          <w:insideV w:val="nil"/>
        </w:tblBorders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5EE"/>
          </w:tcPr>
          <w:p>
            <w:r>
              <w:rPr>
                <w:b/>
              </w:rPr>
              <w:t>О чём это исследование</w:t>
            </w:r>
          </w:p>
          <w:p>
            <w:r>
              <w:t>Тест названий (бренд, продукт или кампания) на фокус-группе из синтетических респондентов: произношение, ассоциации, запоминаемость, категорийность vs различимость, культурные риски. Персоны отвечают каждая сама по себе: группового обсуждения, как в живой фокус-группе, здесь нет. Слепой и контекстный тесты. Результат – генератор гипотез. Само по себе заземление панели устойчивость выводов не повышает: перекосы исходных данных панель наследует. Чем точнее бриф – тем глубже.</w:t>
            </w:r>
          </w:p>
        </w:tc>
      </w:tr>
    </w:tbl>
    <w:p/>
    <w:p>
      <w:bookmarkStart w:id="102" w:name="sec_000_Как_заполнить"/>
      <w:pPr>
        <w:pStyle w:val="Heading1"/>
      </w:pPr>
      <w:r>
        <w:rPr>
          <w:rFonts w:ascii="Calibri" w:hAnsi="Calibri"/>
          <w:color w:val="0A1628"/>
        </w:rPr>
        <w:t>Как заполнить</w:t>
      </w:r>
      <w:bookmarkEnd w:id="102"/>
    </w:p>
    <w:p>
      <w:pPr>
        <w:pStyle w:val="ListBullet"/>
      </w:pPr>
      <w:r>
        <w:rPr>
          <w:rFonts w:ascii="Calibri" w:hAnsi="Calibri"/>
          <w:b w:val="0"/>
          <w:i w:val="0"/>
        </w:rPr>
        <w:t>Перечислите до 3 вариантов названий через запятую.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Опишите категорию и контекст – для чего название.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Отметьте тип теста и дополнительные проверки.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В материалах брифа не должно быть персональных данных физических лиц, в том числе лиц, голосов и имён людей.</w:t>
      </w:r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Поля со звёздочкой (*) – обязательны, остальные – по желанию.</w:t>
      </w:r>
    </w:p>
    <w:p>
      <w:bookmarkStart w:id="103" w:name="sec_001_БРИФ"/>
      <w:pPr>
        <w:pStyle w:val="Heading1"/>
      </w:pPr>
      <w:r>
        <w:rPr>
          <w:rFonts w:ascii="Calibri" w:hAnsi="Calibri"/>
          <w:color w:val="0A1628"/>
        </w:rPr>
        <w:t>БРИФ</w:t>
      </w:r>
      <w:bookmarkEnd w:id="103"/>
    </w:p>
    <w:p>
      <w:bookmarkStart w:id="104" w:name="sec_002_Варианты_названий_"/>
      <w:pPr>
        <w:pStyle w:val="Heading2"/>
      </w:pPr>
      <w:r>
        <w:rPr>
          <w:rFonts w:ascii="Calibri" w:hAnsi="Calibri"/>
          <w:color w:val="8C7142"/>
        </w:rPr>
        <w:t>Варианты названий *</w:t>
      </w:r>
      <w:bookmarkEnd w:id="10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До 3 вариантов через запятую.</w:t>
      </w:r>
    </w:p>
    <w:p>
      <w:pPr>
        <w:jc w:val="both"/>
      </w:pPr>
      <w:r>
        <w:rPr>
          <w:rFonts w:ascii="Calibri" w:hAnsi="Calibri"/>
          <w:b w:val="0"/>
          <w:i w:val="0"/>
        </w:rPr>
        <w:t>Вариант названия 1, Вариант названия 2, Вариант названия 3.</w:t>
      </w:r>
    </w:p>
    <w:p>
      <w:bookmarkStart w:id="105" w:name="sec_003_Заказчик_исследования"/>
      <w:pPr>
        <w:pStyle w:val="Heading2"/>
      </w:pPr>
      <w:r>
        <w:rPr>
          <w:rFonts w:ascii="Calibri" w:hAnsi="Calibri"/>
          <w:color w:val="8C7142"/>
        </w:rPr>
        <w:t>Заказчик исследования</w:t>
      </w:r>
      <w:bookmarkEnd w:id="10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Кто заказал исследование – бренд, агентство, внутренняя команда. </w:t>
        <w:br/>
        <w:t>Не влияет на анализ, нужно для оформления отчёта.</w:t>
      </w:r>
    </w:p>
    <w:p>
      <w:pPr>
        <w:jc w:val="both"/>
      </w:pPr>
      <w:r>
        <w:rPr>
          <w:rFonts w:ascii="Calibri" w:hAnsi="Calibri"/>
          <w:b w:val="0"/>
          <w:i w:val="0"/>
        </w:rPr>
        <w:t>Отдел маркетинга бренда «Бренд А»</w:t>
      </w:r>
    </w:p>
    <w:p>
      <w:bookmarkStart w:id="106" w:name="sec_004_Бренд_или_продукт"/>
      <w:pPr>
        <w:pStyle w:val="Heading2"/>
      </w:pPr>
      <w:r>
        <w:rPr>
          <w:rFonts w:ascii="Calibri" w:hAnsi="Calibri"/>
          <w:color w:val="8C7142"/>
        </w:rPr>
        <w:t>Бренд или продукт</w:t>
      </w:r>
      <w:bookmarkEnd w:id="10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Название бренда или продукта, к которому относится исследование.</w:t>
      </w:r>
    </w:p>
    <w:p>
      <w:pPr>
        <w:jc w:val="both"/>
      </w:pPr>
      <w:r>
        <w:rPr>
          <w:rFonts w:ascii="Calibri" w:hAnsi="Calibri"/>
          <w:b w:val="0"/>
          <w:i w:val="0"/>
        </w:rPr>
        <w:t>Бренд А</w:t>
      </w:r>
    </w:p>
    <w:p>
      <w:bookmarkStart w:id="107" w:name="sec_005_Особенности_аудитории"/>
      <w:pPr>
        <w:pStyle w:val="Heading2"/>
      </w:pPr>
      <w:r>
        <w:rPr>
          <w:rFonts w:ascii="Calibri" w:hAnsi="Calibri"/>
          <w:color w:val="8C7142"/>
        </w:rPr>
        <w:t>Особенности аудитории</w:t>
      </w:r>
      <w:bookmarkEnd w:id="107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Образ жизни, привычки, контекст покупки – чем пользуются, чему верят, где принимают решение (по желанию). </w:t>
        <w:br/>
        <w:t>Кто входит в панель, укажите в поле «Целевая аудитория» раздела «Параметры заказа».</w:t>
      </w:r>
    </w:p>
    <w:p>
      <w:pPr>
        <w:jc w:val="both"/>
      </w:pPr>
      <w:r>
        <w:rPr>
          <w:rFonts w:ascii="Calibri" w:hAnsi="Calibri"/>
          <w:b w:val="0"/>
          <w:i w:val="0"/>
        </w:rPr>
        <w:t>Произносят название вслух при заказе, путают похожие марки, запоминают по первому слогу.</w:t>
      </w:r>
    </w:p>
    <w:p>
      <w:bookmarkStart w:id="108" w:name="sec_006_Категория_и_контекст_"/>
      <w:pPr>
        <w:pStyle w:val="Heading2"/>
      </w:pPr>
      <w:r>
        <w:rPr>
          <w:rFonts w:ascii="Calibri" w:hAnsi="Calibri"/>
          <w:color w:val="8C7142"/>
        </w:rPr>
        <w:t>Категория и контекст *</w:t>
      </w:r>
      <w:bookmarkEnd w:id="108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Для чего название: бренд, продукт или кампания; категория.</w:t>
      </w:r>
    </w:p>
    <w:p>
      <w:pPr>
        <w:jc w:val="both"/>
      </w:pPr>
      <w:r>
        <w:rPr>
          <w:rFonts w:ascii="Calibri" w:hAnsi="Calibri"/>
          <w:b w:val="0"/>
          <w:i w:val="0"/>
        </w:rPr>
        <w:t>Бренд линейки фермерской молочной продукции для розницы и доставки.</w:t>
      </w:r>
    </w:p>
    <w:p>
      <w:bookmarkStart w:id="109" w:name="sec_007_Тип_теста"/>
      <w:pPr>
        <w:pStyle w:val="Heading2"/>
      </w:pPr>
      <w:r>
        <w:rPr>
          <w:rFonts w:ascii="Calibri" w:hAnsi="Calibri"/>
          <w:color w:val="8C7142"/>
        </w:rPr>
        <w:t>Тип теста</w:t>
      </w:r>
      <w:bookmarkEnd w:id="109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Слепой – чистое восприятие без бренда; контекстный – с описанием продукта.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Слепой (без контекста бренда)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Контекстный (с описанием продукта)</w:t>
      </w:r>
    </w:p>
    <w:p>
      <w:bookmarkStart w:id="110" w:name="sec_008_Дополнительные_проверки"/>
      <w:pPr>
        <w:pStyle w:val="Heading2"/>
      </w:pPr>
      <w:r>
        <w:rPr>
          <w:rFonts w:ascii="Calibri" w:hAnsi="Calibri"/>
          <w:color w:val="8C7142"/>
        </w:rPr>
        <w:t>Дополнительные проверки</w:t>
      </w:r>
      <w:bookmarkEnd w:id="110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Эти отметки – рассуждения синтетических персон и программы о названии: как оно может звучать в поиске, в адресе сайта, за рубежом и какие риски видны на слух. </w:t>
        <w:br/>
        <w:t>Частотность запросов, свободные домены и товарные знаки программа не проверяет: регистрацию и риски смешения проверяет патентный поверенный.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SEO-потенциал (частотность запросов)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Доменная доступность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Международное звучание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Юридические или региональные риски</w:t>
      </w:r>
    </w:p>
    <w:p>
      <w:bookmarkStart w:id="111" w:name="sec_009_ПАРАМЕТРЫ_ЗАКАЗА"/>
      <w:pPr>
        <w:pStyle w:val="Heading1"/>
      </w:pPr>
      <w:r>
        <w:rPr>
          <w:rFonts w:ascii="Calibri" w:hAnsi="Calibri"/>
          <w:color w:val="0A1628"/>
        </w:rPr>
        <w:t>ПАРАМЕТРЫ ЗАКАЗА</w:t>
      </w:r>
      <w:bookmarkEnd w:id="111"/>
    </w:p>
    <w:p>
      <w:pPr>
        <w:jc w:val="both"/>
      </w:pPr>
      <w:r>
        <w:rPr>
          <w:rFonts w:ascii="Calibri" w:hAnsi="Calibri"/>
          <w:b w:val="0"/>
          <w:i w:val="0"/>
        </w:rPr>
        <w:t>По этому разделу мы собираем панель и отправляем отчёт.</w:t>
      </w:r>
    </w:p>
    <w:p>
      <w:bookmarkStart w:id="112" w:name="sec_010_Целевая_аудитория_"/>
      <w:pPr>
        <w:pStyle w:val="Heading2"/>
      </w:pPr>
      <w:r>
        <w:rPr>
          <w:rFonts w:ascii="Calibri" w:hAnsi="Calibri"/>
          <w:color w:val="8C7142"/>
        </w:rPr>
        <w:t>Целевая аудитория *</w:t>
      </w:r>
      <w:bookmarkEnd w:id="112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Выбираете вы: готовая поведенческая группа, социально-демографический профиль (возраст, пол, достаток, город или тип города) или описание словами. </w:t>
        <w:br/>
        <w:t>Панель мы собираем по вашему описанию.</w:t>
      </w:r>
    </w:p>
    <w:p>
      <w:pPr>
        <w:jc w:val="both"/>
      </w:pPr>
      <w:r>
        <w:rPr>
          <w:rFonts w:ascii="Calibri" w:hAnsi="Calibri"/>
          <w:b w:val="0"/>
          <w:i w:val="0"/>
        </w:rPr>
        <w:t>Социально-демографический профиль: женщины и мужчины 25–45 лет, семьи с детьми, покупают молочные продукты каждую неделю.</w:t>
      </w:r>
    </w:p>
    <w:p>
      <w:bookmarkStart w:id="113" w:name="sec_011_География"/>
      <w:pPr>
        <w:pStyle w:val="Heading2"/>
      </w:pPr>
      <w:r>
        <w:rPr>
          <w:rFonts w:ascii="Calibri" w:hAnsi="Calibri"/>
          <w:color w:val="8C7142"/>
        </w:rPr>
        <w:t>География</w:t>
      </w:r>
      <w:bookmarkEnd w:id="113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Один из пяти слоёв.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Россия (города от 100 тысяч)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Москва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Санкт-Петербург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Города-миллионники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Миллионники без Москвы и СПб</w:t>
      </w:r>
    </w:p>
    <w:p>
      <w:bookmarkStart w:id="114" w:name="sec_012_Этапность"/>
      <w:pPr>
        <w:pStyle w:val="Heading2"/>
      </w:pPr>
      <w:r>
        <w:rPr>
          <w:rFonts w:ascii="Calibri" w:hAnsi="Calibri"/>
          <w:color w:val="8C7142"/>
        </w:rPr>
        <w:t>Этапность</w:t>
      </w:r>
      <w:bookmarkEnd w:id="11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Нужен ли промежуточный план на утверждение до полного отчёта, или сразу отчёт.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Сначала план на утверждение, затем отчёт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Сразу отчёт</w:t>
      </w:r>
    </w:p>
    <w:p>
      <w:bookmarkStart w:id="115" w:name="sec_013_Контактное_лицо_и_e_mail_"/>
      <w:pPr>
        <w:pStyle w:val="Heading2"/>
      </w:pPr>
      <w:r>
        <w:rPr>
          <w:rFonts w:ascii="Calibri" w:hAnsi="Calibri"/>
          <w:color w:val="8C7142"/>
        </w:rPr>
        <w:t>Контактное лицо и e-mail *</w:t>
      </w:r>
      <w:bookmarkEnd w:id="11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Кому отправить отчёт и уведомления по договору. </w:t>
        <w:br/>
        <w:t>Можно указать общий адрес отдела – тогда имя не нужно.</w:t>
      </w:r>
    </w:p>
    <w:p>
      <w:pPr>
        <w:jc w:val="both"/>
      </w:pPr>
      <w:r>
        <w:rPr>
          <w:rFonts w:ascii="Calibri" w:hAnsi="Calibri"/>
          <w:b w:val="0"/>
          <w:i w:val="0"/>
        </w:rPr>
        <w:t>Отдел маркетинга, marketing@example.com</w:t>
      </w:r>
    </w:p>
    <w:p>
      <w:bookmarkStart w:id="116" w:name="sec_014_Что_дальше"/>
      <w:pPr>
        <w:pStyle w:val="Heading1"/>
      </w:pPr>
      <w:r>
        <w:rPr>
          <w:rFonts w:ascii="Calibri" w:hAnsi="Calibri"/>
          <w:color w:val="0A1628"/>
        </w:rPr>
        <w:t>Что дальше</w:t>
      </w:r>
      <w:bookmarkEnd w:id="116"/>
    </w:p>
    <w:p>
      <w:pPr>
        <w:jc w:val="both"/>
      </w:pPr>
      <w:r>
        <w:rPr>
          <w:rFonts w:ascii="Calibri" w:hAnsi="Calibri"/>
          <w:b w:val="0"/>
          <w:i w:val="0"/>
        </w:rPr>
        <w:t>Сохраните заполненный файл и пришлите его на sales@auroraai.pro вместе с материалами для исследования, если они есть.</w:t>
      </w:r>
    </w:p>
    <w:sectPr w:rsidR="00FC693F" w:rsidRPr="0006063C" w:rsidSect="00034616">
      <w:headerReference w:type="default" r:id="rId9"/>
      <w:footerReference w:type="default" r:id="rId10"/>
      <w:headerReference w:type="first" r:id="rId12"/>
      <w:footerReference w:type="first" r:id="rId13"/>
      <w:headerReference w:type="even" r:id="rId14"/>
      <w:footerReference w:type="even" r:id="rId15"/>
      <w:pgSz w:w="11906" w:h="16838"/>
      <w:pgMar w:top="102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7370"/>
        </w:tcPr>
        <w:p>
          <w:pPr>
            <w:pBdr>
              <w:top w:val="single" w:sz="4" w:space="1" w:color="C8CDD4"/>
            </w:pBdr>
          </w:pPr>
          <w:r>
            <w:rPr>
              <w:rFonts w:ascii="Calibri" w:hAnsi="Calibri"/>
              <w:color w:val="547090"/>
              <w:sz w:val="16"/>
            </w:rPr>
            <w:t>Конфиденциально – 2026</w:t>
          </w:r>
        </w:p>
      </w:tc>
      <w:tc>
        <w:tcPr>
          <w:tcW w:type="dxa" w:w="2268"/>
        </w:tcPr>
        <w:p>
          <w:pPr>
            <w:jc w:val="right"/>
            <w:pBdr>
              <w:top w:val="single" w:sz="4" w:space="1" w:color="C8CDD4"/>
            </w:pBdr>
          </w:pPr>
          <w:fldSimple w:instr="PAGE">
            <w:r>
              <w:rPr>
                <w:sz w:val="16"/>
                <w:color w:val="547090"/>
              </w:rPr>
              <w:t>1</w:t>
            </w:r>
          </w:fldSimple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3213"/>
      <w:gridCol w:w="3213"/>
      <w:gridCol w:w="3213"/>
    </w:tblGrid>
    <w:tr>
      <w:tc>
        <w:tcPr>
          <w:tcW w:type="dxa" w:w="2268"/>
        </w:tcPr>
        <w:p>
          <w:r>
            <w:drawing>
              <wp:inline xmlns:a="http://schemas.openxmlformats.org/drawingml/2006/main" xmlns:pic="http://schemas.openxmlformats.org/drawingml/2006/picture">
                <wp:extent cx="810631" cy="612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urora-volumetric-square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631" cy="61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02"/>
        </w:tcPr>
        <w:p>
          <w:pPr>
            <w:spacing w:before="480"/>
            <w:jc w:val="center"/>
          </w:pPr>
          <w:r>
            <w:rPr>
              <w:rFonts w:ascii="Calibri" w:hAnsi="Calibri"/>
              <w:color w:val="547090"/>
              <w:sz w:val="22"/>
            </w:rPr>
            <w:t>Synthetic Research</w:t>
          </w:r>
        </w:p>
      </w:tc>
      <w:tc>
        <w:tcPr>
          <w:tcW w:type="dxa" w:w="2268"/>
        </w:tcPr>
        <w:p/>
      </w:tc>
    </w:tr>
  </w:tbl>
  <w:p>
    <w:pPr>
      <w:pBdr>
        <w:bottom w:val="single" w:sz="6" w:space="1" w:color="C5A46D"/>
      </w:pBd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Synthetic Research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ООО «Платформа Аврора»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исследования – Названия</dc:title>
  <dc:subject/>
  <dc:creator>ООО «Платформа Аврора»</dc:creator>
  <cp:keywords>/name-test:pack-vea9ee6d24e2e</cp:keywords>
  <dc:description/>
  <cp:lastModifiedBy>ООО «Платформа Аврора»</cp:lastModifiedBy>
  <cp:revision>1</cp:revision>
  <dcterms:created xsi:type="dcterms:W3CDTF">2026-10-19T22:20:10Z</dcterms:created>
  <dcterms:modified xsi:type="dcterms:W3CDTF">2026-10-19T22:20:10Z</dcterms:modified>
  <cp:category/>
</cp:coreProperties>
</file>