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spacing w:after="280"/>
        <w:jc w:val="center"/>
      </w:pPr>
      <w:r>
        <w:drawing>
          <wp:inline xmlns:a="http://schemas.openxmlformats.org/drawingml/2006/main" xmlns:pic="http://schemas.openxmlformats.org/drawingml/2006/picture">
            <wp:extent cx="1430526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rora-volumetric-square-m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30526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hAnsi="Calibri"/>
          <w:b/>
          <w:color w:val="8C7142"/>
          <w:sz w:val="32"/>
        </w:rPr>
        <w:t>БРИФ ИССЛЕДОВАНИЯ – UX И ВОРОНКИ</w:t>
      </w:r>
    </w:p>
    <w:p>
      <w:pPr>
        <w:jc w:val="center"/>
      </w:pPr>
      <w:r>
        <w:rPr>
          <w:rFonts w:ascii="Calibri" w:hAnsi="Calibri"/>
          <w:i/>
          <w:color w:val="8C7142"/>
          <w:sz w:val="26"/>
        </w:rPr>
        <w:t>Вымышленный пример заполнения</w:t>
      </w:r>
    </w:p>
    <w:p>
      <w:pPr>
        <w:jc w:val="center"/>
      </w:pPr>
      <w:r>
        <w:rPr>
          <w:rFonts w:ascii="Calibri" w:hAnsi="Calibri"/>
          <w:color w:val="547090"/>
          <w:sz w:val="20"/>
        </w:rPr>
        <w:br/>
        <w:br/>
        <w:t>Все названия, компании и цифры вымышлены; совпадения случайны.</w:t>
        <w:br/>
        <w:t>Метод: карта трения · оценка вероятных точек отвала · умственная нагрузка (Норман, Круг)</w:t>
      </w:r>
    </w:p>
    <w:p/>
    <w:p/>
    <w:p/>
    <w:p>
      <w:pPr>
        <w:jc w:val="center"/>
      </w:pPr>
      <w:r>
        <w:rPr>
          <w:rFonts w:ascii="Calibri" w:hAnsi="Calibri"/>
          <w:i/>
          <w:color w:val="8C7142"/>
          <w:sz w:val="26"/>
        </w:rPr>
        <w:t>Синтетические исследования на синтетических персонах</w:t>
      </w:r>
    </w:p>
    <w:tbl>
      <w:tblPr>
        <w:tblW w:type="auto" w:w="0"/>
        <w:tblBorders>
          <w:top w:val="single" w:sz="4" w:space="0" w:color="C8CDD4"/>
          <w:bottom w:val="single" w:sz="4" w:space="0" w:color="C8CDD4"/>
          <w:insideH w:val="single" w:sz="4" w:space="0" w:color="C8CDD4"/>
          <w:left w:val="nil"/>
          <w:right w:val="nil"/>
          <w:insideV w:val="nil"/>
        </w:tblBorders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5EE"/>
          </w:tcPr>
          <w:p>
            <w:r>
              <w:rPr>
                <w:b/>
              </w:rPr>
              <w:t>О чём это исследование</w:t>
            </w:r>
          </w:p>
          <w:p>
            <w:r>
              <w:t>Тест UX-сценария на панели из синтетических респондентов с разной технической грамотностью. По шагам: первый клик, понятность, когнитивная нагрузка, точки трения и отвала, моменты удовольствия → карта трения и оценка вероятных точек отвала. Результат – генератор гипотез. Само по себе заземление панели устойчивость выводов не повышает: перекосы исходных данных панель наследует. Чем точнее сценарий – тем глубже выводы.</w:t>
            </w:r>
          </w:p>
        </w:tc>
      </w:tr>
    </w:tbl>
    <w:p/>
    <w:p>
      <w:bookmarkStart w:id="102" w:name="sec_000_Как_заполнить"/>
      <w:pPr>
        <w:pStyle w:val="Heading1"/>
      </w:pPr>
      <w:r>
        <w:rPr>
          <w:rFonts w:ascii="Calibri" w:hAnsi="Calibri"/>
          <w:color w:val="0A1628"/>
        </w:rPr>
        <w:t>Как заполнить</w:t>
      </w:r>
      <w:bookmarkEnd w:id="102"/>
    </w:p>
    <w:p>
      <w:pPr>
        <w:pStyle w:val="ListBullet"/>
      </w:pPr>
      <w:r>
        <w:rPr>
          <w:rFonts w:ascii="Calibri" w:hAnsi="Calibri"/>
          <w:b w:val="0"/>
          <w:i w:val="0"/>
        </w:rPr>
        <w:t>Опишите путь пользователя пошагово: Экран 1 → Экран 2 → … (что видит и делает).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Отметьте, что важно проверить на каждом шаге.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Укажите целевое действие и устройства.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В материалах брифа не должно быть персональных данных физических лиц, в том числе лиц, голосов и имён людей.</w:t>
      </w:r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Поля со звёздочкой (*) – обязательны, остальные – по желанию.</w:t>
      </w:r>
    </w:p>
    <w:p>
      <w:bookmarkStart w:id="103" w:name="sec_001_БРИФ"/>
      <w:pPr>
        <w:pStyle w:val="Heading1"/>
      </w:pPr>
      <w:r>
        <w:rPr>
          <w:rFonts w:ascii="Calibri" w:hAnsi="Calibri"/>
          <w:color w:val="0A1628"/>
        </w:rPr>
        <w:t>БРИФ</w:t>
      </w:r>
      <w:bookmarkEnd w:id="103"/>
    </w:p>
    <w:p>
      <w:bookmarkStart w:id="104" w:name="sec_002_Сценарий_пользователя_"/>
      <w:pPr>
        <w:pStyle w:val="Heading2"/>
      </w:pPr>
      <w:r>
        <w:rPr>
          <w:rFonts w:ascii="Calibri" w:hAnsi="Calibri"/>
          <w:color w:val="8C7142"/>
        </w:rPr>
        <w:t>Сценарий пользователя *</w:t>
      </w:r>
      <w:bookmarkEnd w:id="10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Опишите путь пошагово: что на каждом экране, что должен сделать пользователь.</w:t>
      </w:r>
    </w:p>
    <w:p>
      <w:pPr>
        <w:jc w:val="both"/>
      </w:pPr>
      <w:r>
        <w:rPr>
          <w:rFonts w:ascii="Calibri" w:hAnsi="Calibri"/>
          <w:b w:val="0"/>
          <w:i w:val="0"/>
        </w:rPr>
        <w:t>Экран 1: главная страница подписки «Продукт Б». Экран 2: выбор набора и частоты. Экран 3: оформление подписки и оплата. Экран 4: подтверждение.</w:t>
      </w:r>
    </w:p>
    <w:p>
      <w:bookmarkStart w:id="105" w:name="sec_003_Заказчик_исследования"/>
      <w:pPr>
        <w:pStyle w:val="Heading2"/>
      </w:pPr>
      <w:r>
        <w:rPr>
          <w:rFonts w:ascii="Calibri" w:hAnsi="Calibri"/>
          <w:color w:val="8C7142"/>
        </w:rPr>
        <w:t>Заказчик исследования</w:t>
      </w:r>
      <w:bookmarkEnd w:id="10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Кто заказал исследование – бренд, агентство, внутренняя команда. </w:t>
        <w:br/>
        <w:t>Не влияет на анализ, нужно для оформления отчёта.</w:t>
      </w:r>
    </w:p>
    <w:p>
      <w:pPr>
        <w:jc w:val="both"/>
      </w:pPr>
      <w:r>
        <w:rPr>
          <w:rFonts w:ascii="Calibri" w:hAnsi="Calibri"/>
          <w:b w:val="0"/>
          <w:i w:val="0"/>
        </w:rPr>
        <w:t>Отдел маркетинга бренда «Бренд А»</w:t>
      </w:r>
    </w:p>
    <w:p>
      <w:bookmarkStart w:id="106" w:name="sec_004_Бренд_или_продукт"/>
      <w:pPr>
        <w:pStyle w:val="Heading2"/>
      </w:pPr>
      <w:r>
        <w:rPr>
          <w:rFonts w:ascii="Calibri" w:hAnsi="Calibri"/>
          <w:color w:val="8C7142"/>
        </w:rPr>
        <w:t>Бренд или продукт</w:t>
      </w:r>
      <w:bookmarkEnd w:id="106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Название бренда или продукта, к которому относится исследование.</w:t>
      </w:r>
    </w:p>
    <w:p>
      <w:pPr>
        <w:jc w:val="both"/>
      </w:pPr>
      <w:r>
        <w:rPr>
          <w:rFonts w:ascii="Calibri" w:hAnsi="Calibri"/>
          <w:b w:val="0"/>
          <w:i w:val="0"/>
        </w:rPr>
        <w:t>Бренд А</w:t>
      </w:r>
    </w:p>
    <w:p>
      <w:bookmarkStart w:id="107" w:name="sec_005_Особенности_аудитории"/>
      <w:pPr>
        <w:pStyle w:val="Heading2"/>
      </w:pPr>
      <w:r>
        <w:rPr>
          <w:rFonts w:ascii="Calibri" w:hAnsi="Calibri"/>
          <w:color w:val="8C7142"/>
        </w:rPr>
        <w:t>Особенности аудитории</w:t>
      </w:r>
      <w:bookmarkEnd w:id="107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Образ жизни, привычки, контекст покупки – чем пользуются, чему верят, где принимают решение (по желанию). </w:t>
        <w:br/>
        <w:t>Кто входит в панель, укажите в поле «Целевая аудитория» раздела «Параметры заказа».</w:t>
      </w:r>
    </w:p>
    <w:p>
      <w:pPr>
        <w:jc w:val="both"/>
      </w:pPr>
      <w:r>
        <w:rPr>
          <w:rFonts w:ascii="Calibri" w:hAnsi="Calibri"/>
          <w:b w:val="0"/>
          <w:i w:val="0"/>
        </w:rPr>
        <w:t>Заказывают с телефона на ходу, регистрацию не любят, чаще всего бросают оформление на оплате.</w:t>
      </w:r>
    </w:p>
    <w:p>
      <w:bookmarkStart w:id="108" w:name="sec_006_Что_подчеркнуть_в_выводах"/>
      <w:pPr>
        <w:pStyle w:val="Heading2"/>
      </w:pPr>
      <w:r>
        <w:rPr>
          <w:rFonts w:ascii="Calibri" w:hAnsi="Calibri"/>
          <w:color w:val="8C7142"/>
        </w:rPr>
        <w:t>Что подчеркнуть в выводах</w:t>
      </w:r>
      <w:bookmarkEnd w:id="108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Отметьте приоритетные аспекты – анализ расставит акценты.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Где тормозит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Что непонятно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Где уходит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Что радует</w:t>
      </w:r>
    </w:p>
    <w:p>
      <w:bookmarkStart w:id="109" w:name="sec_007_Устройство"/>
      <w:pPr>
        <w:pStyle w:val="Heading2"/>
      </w:pPr>
      <w:r>
        <w:rPr>
          <w:rFonts w:ascii="Calibri" w:hAnsi="Calibri"/>
          <w:color w:val="8C7142"/>
        </w:rPr>
        <w:t>Устройство</w:t>
      </w:r>
      <w:bookmarkEnd w:id="109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На каких устройствах проходит сценарий.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Десктоп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Мобильный – приложение или сайт</w:t>
      </w:r>
    </w:p>
    <w:p>
      <w:bookmarkStart w:id="110" w:name="sec_008_Целевое_действие"/>
      <w:pPr>
        <w:pStyle w:val="Heading2"/>
      </w:pPr>
      <w:r>
        <w:rPr>
          <w:rFonts w:ascii="Calibri" w:hAnsi="Calibri"/>
          <w:color w:val="8C7142"/>
        </w:rPr>
        <w:t>Целевое действие</w:t>
      </w:r>
      <w:bookmarkEnd w:id="110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Что пользователь должен сделать в итоге – по нему меряем, как быстро человек доходит до результата.</w:t>
      </w:r>
    </w:p>
    <w:p>
      <w:pPr>
        <w:jc w:val="both"/>
      </w:pPr>
      <w:r>
        <w:rPr>
          <w:rFonts w:ascii="Calibri" w:hAnsi="Calibri"/>
          <w:b w:val="0"/>
          <w:i w:val="0"/>
        </w:rPr>
        <w:t>Оформить первую подписку и оплатить.</w:t>
      </w:r>
    </w:p>
    <w:p>
      <w:bookmarkStart w:id="111" w:name="sec_009_ПАРАМЕТРЫ_ЗАКАЗА"/>
      <w:pPr>
        <w:pStyle w:val="Heading1"/>
      </w:pPr>
      <w:r>
        <w:rPr>
          <w:rFonts w:ascii="Calibri" w:hAnsi="Calibri"/>
          <w:color w:val="0A1628"/>
        </w:rPr>
        <w:t>ПАРАМЕТРЫ ЗАКАЗА</w:t>
      </w:r>
      <w:bookmarkEnd w:id="111"/>
    </w:p>
    <w:p>
      <w:pPr>
        <w:jc w:val="both"/>
      </w:pPr>
      <w:r>
        <w:rPr>
          <w:rFonts w:ascii="Calibri" w:hAnsi="Calibri"/>
          <w:b w:val="0"/>
          <w:i w:val="0"/>
        </w:rPr>
        <w:t>По этому разделу мы собираем панель и отправляем отчёт.</w:t>
      </w:r>
    </w:p>
    <w:p>
      <w:bookmarkStart w:id="112" w:name="sec_010_Целевая_аудитория_"/>
      <w:pPr>
        <w:pStyle w:val="Heading2"/>
      </w:pPr>
      <w:r>
        <w:rPr>
          <w:rFonts w:ascii="Calibri" w:hAnsi="Calibri"/>
          <w:color w:val="8C7142"/>
        </w:rPr>
        <w:t>Целевая аудитория *</w:t>
      </w:r>
      <w:bookmarkEnd w:id="112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Выбираете вы: готовая поведенческая группа, социально-демографический профиль (возраст, пол, достаток, город или тип города) или описание словами. </w:t>
        <w:br/>
        <w:t>Панель мы собираем по вашему описанию.</w:t>
      </w:r>
    </w:p>
    <w:p>
      <w:pPr>
        <w:jc w:val="both"/>
      </w:pPr>
      <w:r>
        <w:rPr>
          <w:rFonts w:ascii="Calibri" w:hAnsi="Calibri"/>
          <w:b w:val="0"/>
          <w:i w:val="0"/>
        </w:rPr>
        <w:t>Социально-демографический профиль: женщины и мужчины 25–45 лет, семьи с детьми, покупают молочные продукты каждую неделю.</w:t>
      </w:r>
    </w:p>
    <w:p>
      <w:bookmarkStart w:id="113" w:name="sec_011_География"/>
      <w:pPr>
        <w:pStyle w:val="Heading2"/>
      </w:pPr>
      <w:r>
        <w:rPr>
          <w:rFonts w:ascii="Calibri" w:hAnsi="Calibri"/>
          <w:color w:val="8C7142"/>
        </w:rPr>
        <w:t>География</w:t>
      </w:r>
      <w:bookmarkEnd w:id="113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Один из пяти слоёв.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Россия (города от 100 тысяч)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Москва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Санкт-Петербург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Города-миллионники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Миллионники без Москвы и СПб</w:t>
      </w:r>
    </w:p>
    <w:p>
      <w:bookmarkStart w:id="114" w:name="sec_012_Этапность"/>
      <w:pPr>
        <w:pStyle w:val="Heading2"/>
      </w:pPr>
      <w:r>
        <w:rPr>
          <w:rFonts w:ascii="Calibri" w:hAnsi="Calibri"/>
          <w:color w:val="8C7142"/>
        </w:rPr>
        <w:t>Этапность</w:t>
      </w:r>
      <w:bookmarkEnd w:id="11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Нужен ли промежуточный план на утверждение до полного отчёта, или сразу отчёт.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Сначала план на утверждение, затем отчёт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Сразу отчёт</w:t>
      </w:r>
    </w:p>
    <w:p>
      <w:bookmarkStart w:id="115" w:name="sec_013_Контактное_лицо_и_e_mail_"/>
      <w:pPr>
        <w:pStyle w:val="Heading2"/>
      </w:pPr>
      <w:r>
        <w:rPr>
          <w:rFonts w:ascii="Calibri" w:hAnsi="Calibri"/>
          <w:color w:val="8C7142"/>
        </w:rPr>
        <w:t>Контактное лицо и e-mail *</w:t>
      </w:r>
      <w:bookmarkEnd w:id="11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Кому отправить отчёт и уведомления по договору. </w:t>
        <w:br/>
        <w:t>Можно указать общий адрес отдела – тогда имя не нужно.</w:t>
      </w:r>
    </w:p>
    <w:p>
      <w:pPr>
        <w:jc w:val="both"/>
      </w:pPr>
      <w:r>
        <w:rPr>
          <w:rFonts w:ascii="Calibri" w:hAnsi="Calibri"/>
          <w:b w:val="0"/>
          <w:i w:val="0"/>
        </w:rPr>
        <w:t>Отдел маркетинга, marketing@example.com</w:t>
      </w:r>
    </w:p>
    <w:p>
      <w:bookmarkStart w:id="116" w:name="sec_014_Что_дальше"/>
      <w:pPr>
        <w:pStyle w:val="Heading1"/>
      </w:pPr>
      <w:r>
        <w:rPr>
          <w:rFonts w:ascii="Calibri" w:hAnsi="Calibri"/>
          <w:color w:val="0A1628"/>
        </w:rPr>
        <w:t>Что дальше</w:t>
      </w:r>
      <w:bookmarkEnd w:id="116"/>
    </w:p>
    <w:p>
      <w:pPr>
        <w:jc w:val="both"/>
      </w:pPr>
      <w:r>
        <w:rPr>
          <w:rFonts w:ascii="Calibri" w:hAnsi="Calibri"/>
          <w:b w:val="0"/>
          <w:i w:val="0"/>
        </w:rPr>
        <w:t>Сохраните заполненный файл и пришлите его на sales@auroraai.pro вместе с материалами для исследования, если они есть.</w:t>
      </w:r>
    </w:p>
    <w:sectPr w:rsidR="00FC693F" w:rsidRPr="0006063C" w:rsidSect="00034616">
      <w:headerReference w:type="default" r:id="rId9"/>
      <w:footerReference w:type="default" r:id="rId10"/>
      <w:headerReference w:type="first" r:id="rId12"/>
      <w:footerReference w:type="first" r:id="rId13"/>
      <w:headerReference w:type="even" r:id="rId14"/>
      <w:footerReference w:type="even" r:id="rId15"/>
      <w:pgSz w:w="11906" w:h="16838"/>
      <w:pgMar w:top="1020" w:right="1134" w:bottom="1020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4819"/>
      <w:gridCol w:w="4819"/>
    </w:tblGrid>
    <w:tr>
      <w:tc>
        <w:tcPr>
          <w:tcW w:type="dxa" w:w="7370"/>
        </w:tcPr>
        <w:p>
          <w:pPr>
            <w:pBdr>
              <w:top w:val="single" w:sz="4" w:space="1" w:color="C8CDD4"/>
            </w:pBdr>
          </w:pPr>
          <w:r>
            <w:rPr>
              <w:rFonts w:ascii="Calibri" w:hAnsi="Calibri"/>
              <w:color w:val="547090"/>
              <w:sz w:val="16"/>
            </w:rPr>
            <w:t>Конфиденциально – 2026</w:t>
          </w:r>
        </w:p>
      </w:tc>
      <w:tc>
        <w:tcPr>
          <w:tcW w:type="dxa" w:w="2268"/>
        </w:tcPr>
        <w:p>
          <w:pPr>
            <w:jc w:val="right"/>
            <w:pBdr>
              <w:top w:val="single" w:sz="4" w:space="1" w:color="C8CDD4"/>
            </w:pBdr>
          </w:pPr>
          <w:fldSimple w:instr="PAGE">
            <w:r>
              <w:rPr>
                <w:sz w:val="16"/>
                <w:color w:val="547090"/>
              </w:rPr>
              <w:t>1</w:t>
            </w:r>
          </w:fldSimple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3213"/>
      <w:gridCol w:w="3213"/>
      <w:gridCol w:w="3213"/>
    </w:tblGrid>
    <w:tr>
      <w:tc>
        <w:tcPr>
          <w:tcW w:type="dxa" w:w="2268"/>
        </w:tcPr>
        <w:p>
          <w:r>
            <w:drawing>
              <wp:inline xmlns:a="http://schemas.openxmlformats.org/drawingml/2006/main" xmlns:pic="http://schemas.openxmlformats.org/drawingml/2006/picture">
                <wp:extent cx="810631" cy="612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urora-volumetric-square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631" cy="61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02"/>
        </w:tcPr>
        <w:p>
          <w:pPr>
            <w:spacing w:before="480"/>
            <w:jc w:val="center"/>
          </w:pPr>
          <w:r>
            <w:rPr>
              <w:rFonts w:ascii="Calibri" w:hAnsi="Calibri"/>
              <w:color w:val="547090"/>
              <w:sz w:val="22"/>
            </w:rPr>
            <w:t>Synthetic Research</w:t>
          </w:r>
        </w:p>
      </w:tc>
      <w:tc>
        <w:tcPr>
          <w:tcW w:type="dxa" w:w="2268"/>
        </w:tcPr>
        <w:p/>
      </w:tc>
    </w:tr>
  </w:tbl>
  <w:p>
    <w:pPr>
      <w:pBdr>
        <w:bottom w:val="single" w:sz="6" w:space="1" w:color="C5A46D"/>
      </w:pBd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Synthetic Research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ООО «Платформа Аврора»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исследования – UX и воронки</dc:title>
  <dc:subject/>
  <dc:creator>ООО «Платформа Аврора»</dc:creator>
  <cp:keywords>/ux-test:pack-vaacea7f8e74a</cp:keywords>
  <dc:description/>
  <cp:lastModifiedBy>ООО «Платформа Аврора»</cp:lastModifiedBy>
  <cp:revision>1</cp:revision>
  <dcterms:created xsi:type="dcterms:W3CDTF">2026-10-19T22:20:11Z</dcterms:created>
  <dcterms:modified xsi:type="dcterms:W3CDTF">2026-10-19T22:20:11Z</dcterms:modified>
  <cp:category/>
</cp:coreProperties>
</file>